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E772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E772A" w:rsidRDefault="009A0C4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E772A" w:rsidRDefault="009A0C4B">
            <w:pPr>
              <w:spacing w:after="0" w:line="240" w:lineRule="auto"/>
            </w:pPr>
            <w:r>
              <w:t>17714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E772A" w:rsidRDefault="009A0C4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E772A" w:rsidRDefault="009A0C4B">
            <w:pPr>
              <w:spacing w:after="0" w:line="240" w:lineRule="auto"/>
            </w:pPr>
            <w:r>
              <w:t>OBRTNIČKA ŠKOLA OSIJEK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E772A" w:rsidRDefault="009A0C4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E772A" w:rsidRDefault="009A0C4B">
            <w:pPr>
              <w:spacing w:after="0" w:line="240" w:lineRule="auto"/>
            </w:pPr>
            <w:r>
              <w:t>31</w:t>
            </w:r>
          </w:p>
        </w:tc>
      </w:tr>
    </w:tbl>
    <w:p w:rsidR="006E772A" w:rsidRDefault="009A0C4B">
      <w:r>
        <w:br/>
      </w:r>
    </w:p>
    <w:p w:rsidR="006E772A" w:rsidRDefault="009A0C4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E772A" w:rsidRDefault="009A0C4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E772A" w:rsidRDefault="009A0C4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1.545.756,41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1.664.696,58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1.552.214,41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1.784.551,45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6E77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6.458,00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119.854,87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1855,9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7.011,01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14.999,03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213,9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6E77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6.975,60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14.999,03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215,0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6E77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6E77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13.433,60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134.853,90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1003,9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 xml:space="preserve">Za razdoblje 1.1. do 31.12.2025. škola je ostvarila manjak prihoda i primitaka u iznosu od 134.853,90 eura. Navedeni manjak čine manjak od redovnog poslovanja u iznosu 119.854,87 eura i manjak prihoda od nefinancijske imovine od 14.999,03 </w:t>
      </w:r>
      <w:proofErr w:type="spellStart"/>
      <w:r>
        <w:t>eur</w:t>
      </w:r>
      <w:proofErr w:type="spellEnd"/>
      <w:r>
        <w:t>. Manjak priho</w:t>
      </w:r>
      <w:r>
        <w:t>da poslovanja predstavlja modificirani manjak koji je djelomično  pokriven već u siječnju 2026., odnosi se na plaću za prosinac 2025., a rezultat je promjena u načinu evidentiranja rashoda. Novim Pravilnikom o proračunskom računovodstvu koji se primjenjuje</w:t>
      </w:r>
      <w:r>
        <w:t xml:space="preserve"> od 1.1.2025. godine ukida se podskupina 193 – kontinuirani rashodi, a to su rashodi za zaposlene, odnosno obračuni plaća </w:t>
      </w:r>
      <w:r>
        <w:lastRenderedPageBreak/>
        <w:t>za mjesece na kraju izvještajnih razdoblja. Zbog njihovog ukidanja škola je obvezna evidentirati trinaesti rashod za zaposlene u obrač</w:t>
      </w:r>
      <w:r>
        <w:t xml:space="preserve">unskom razdoblju siječanj-prosinac 2025. Također, manjak iz redovnog poslovanja rezultat je i promjena računovodstvenog evidentiranja sredstava Europske unije, odnosno </w:t>
      </w:r>
      <w:proofErr w:type="spellStart"/>
      <w:r>
        <w:t>Erasmus</w:t>
      </w:r>
      <w:proofErr w:type="spellEnd"/>
      <w:r>
        <w:t xml:space="preserve">+ programa gdje se uplaćeni predujam za </w:t>
      </w:r>
      <w:proofErr w:type="spellStart"/>
      <w:r>
        <w:t>Erasmus</w:t>
      </w:r>
      <w:proofErr w:type="spellEnd"/>
      <w:r>
        <w:t>+ projekt više ne evidentira kao p</w:t>
      </w:r>
      <w:r>
        <w:t xml:space="preserve">rihod već kao obveza za EU predujam dan iz državnog proračuna. Preneseni višak iz prethodne godine iznosi 12.053,00 </w:t>
      </w:r>
      <w:proofErr w:type="spellStart"/>
      <w:r>
        <w:t>eur</w:t>
      </w:r>
      <w:proofErr w:type="spellEnd"/>
      <w:r>
        <w:t xml:space="preserve"> tako da je ukupan rezultat koji se prenosi u sljedeće razdoblje manjak u iznosu 122.800,90 eura. </w:t>
      </w:r>
    </w:p>
    <w:p w:rsidR="006E772A" w:rsidRDefault="009A0C4B">
      <w:r>
        <w:br/>
      </w:r>
    </w:p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1.349.595,15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1.437.689,96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Povećanje prihoda rezultat je rasta koeficijenata za izračun plaće definiranih Uredbom o nazivima radnih mjesta, uvjetima za raspored i koeficijentima za obračun plaće u državnoj službi od ožujka 2024. kao i rasta osnovice za obračun plaće u javnim službam</w:t>
      </w:r>
      <w:r>
        <w:t>a od veljače i rujna 2025 (NN 125/24).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proračunskim korisnicima iz </w:t>
            </w:r>
            <w:r>
              <w:rPr>
                <w:sz w:val="18"/>
              </w:rPr>
              <w:t>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9.219,62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1707,3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Kapitalne pomoći proračunskim korisnicima iz proračuna koji im nije nadležan u porastu jer je škola sudjelovala u projektu „Modernizacija medija i škole za bolju informiranost i nove generacije“ koji je djelomično financiran Programom prekogranične suradnj</w:t>
      </w:r>
      <w:r>
        <w:t xml:space="preserve">e između Republike Hrvatske i Bosne i Hercegovine za 2025. godinu od strane Ministarstva </w:t>
      </w:r>
      <w:proofErr w:type="spellStart"/>
      <w:r>
        <w:t>regionalog</w:t>
      </w:r>
      <w:proofErr w:type="spellEnd"/>
      <w:r>
        <w:t xml:space="preserve"> razvoja i fondova Europske unije. U sklopu projekta odrađena je modernizacija jedne učionice ( nabava novog školskog namještaja i informatičke opreme).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95,0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lastRenderedPageBreak/>
        <w:t>Ostali nespomenuti prihodi su u padu jer se isti, u najvećem djelu, odnose na uplate ostvarene izdavanjem duplikata/prijepisa svjedodžbi čiji je broj manji u odnosu na broj izdanih duplikata u istom razdoblju prošle godine.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Prihodi od prodaje proizvoda i robe je u padu jer nije ostvaren prihod od prodaje starog papira kao ni prihod ostvaren od strane učeničke zadruge.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17.095,09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13.095,75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76,6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Prihodi od pruženih usluga u padu je, najvećim djelom, zbog smanjenog broja polaznika obrazovanja odraslih.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8,6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Dobivena je samo donacija u iznosu 350,00 eura od Obrtničke komore za kupnju poklona najboljim maturantima iz struke, za razliku od prošle godine kada je dobivena i donacija od Nacionalne zaklade za razvoj civilnog društva za sudjelovanje u hrvatskoj inači</w:t>
      </w:r>
      <w:r>
        <w:t>ci Programa „Činim dobro otiskom srca“. 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lastRenderedPageBreak/>
        <w:t xml:space="preserve">Kapitalne donacije su u porastu jer je škola dobila stolnoteniski stol od Školskog športskog saveza </w:t>
      </w:r>
      <w:proofErr w:type="spellStart"/>
      <w:r>
        <w:t>Oječko</w:t>
      </w:r>
      <w:proofErr w:type="spellEnd"/>
      <w:r>
        <w:t>-baranjske županije.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169.508,87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197.192,75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Prihodi iz nadležnog proračuna za financiranje rashoda poslovanja najvećim djelom su povećani u odnosu na 2024. godine zbog većeg broja pomoćnika u nastavi u sklopu EU projekta „Učimo zajedno“ te zbog rebalansom odobrenih sredstava za PDV u sklopu projekta</w:t>
      </w:r>
      <w:r>
        <w:t xml:space="preserve"> „Modernizacija medija i škole bolju informiranost i nove generacije“ 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</w:t>
            </w:r>
            <w:r>
              <w:rPr>
                <w:sz w:val="18"/>
              </w:rPr>
              <w:t>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267,4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Prihodi iz nadležnog proračuna za financiranje rashoda za nabavu nefinancijske imovine su u rastu jer su rebalansom odobrena sredstava za PDV u sklopu projekta „Modernizacija medija i škole za bolju informiranost i nove generacije“ 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1.144.660,64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1.316.060,50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Glavni razlog povećanja rashoda za plaće zaposlenika je promjena u načinu evidentiranja rashoda. Novim Pravilnikom o proračunskom računovodstvu koji se primjenjuje od 1.1.2025. godine ukida se podskupina 193 – kontinuirani rashodi, a to su rashodi za zapos</w:t>
      </w:r>
      <w:r>
        <w:t>lene, odnosno obračuni plaća za mjesece na kraju izvještajnih razdoblja. Zbog njihovog ukidanja škola je obvezna evidentirati trinaesti rashod za zaposlene u obračunskom razdoblju siječanj-prosinac 2025. Povećanje rashoda, također je i rezultat rasta koefi</w:t>
      </w:r>
      <w:r>
        <w:t>cijenata za izračun plaće definiranih Uredbom o nazivima radnih mjesta, uvjetima za raspored i koeficijentima za obračun plaće u državnoj službi od ožujka 2024. kao i rasta osnovice za obračun plaće u javnim službama od veljače i rujna 2025.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52.352,61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60.790,43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Ostali rashodi za zaposlene u rastu su zbog više ostvarenih materijalnih prava zaposlenika (otpremnine, nagrade, regres  dr.)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13.604,93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1790,1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 xml:space="preserve">Stručno usavršavanje zaposlenika u porastu je u odnosu na prethodno razdoblje jer su dobivena sredstva o MZOM-a za </w:t>
      </w:r>
      <w:proofErr w:type="spellStart"/>
      <w:r>
        <w:t>Psihodijagnostiku</w:t>
      </w:r>
      <w:proofErr w:type="spellEnd"/>
      <w:r>
        <w:t xml:space="preserve"> iz kojih su financirana usavršavanja zaposlenika ali najveće povećanje se odnosi na dobivena sredstva iz dva projekta „</w:t>
      </w:r>
      <w:proofErr w:type="spellStart"/>
      <w:r>
        <w:t>Eras</w:t>
      </w:r>
      <w:r>
        <w:t>mus</w:t>
      </w:r>
      <w:proofErr w:type="spellEnd"/>
      <w:r>
        <w:t>+“ iz kojih su plaćena putovanja zaposlenih radi stručnih usavršavanja u sklopu projekta.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12.540,94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13.743,59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 xml:space="preserve">Povećanje troškova najvećim dijelom je nastalo zbog odobrenih sredstava Ministarstva znanosti, obrazovanja i mladih za nabavu testova za </w:t>
      </w:r>
      <w:proofErr w:type="spellStart"/>
      <w:r>
        <w:t>psihodijagnostiku</w:t>
      </w:r>
      <w:proofErr w:type="spellEnd"/>
      <w:r>
        <w:t xml:space="preserve"> u iznosu 3.092,75 </w:t>
      </w:r>
      <w:proofErr w:type="spellStart"/>
      <w:r>
        <w:t>eur</w:t>
      </w:r>
      <w:proofErr w:type="spellEnd"/>
      <w:r>
        <w:t>, dok je 2024. godine za istu namjenu odobreno i utrošeno 1.228,72 eura.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11.122,41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8.166,01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73,4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Smanjenje troškova najvećim djelom je zbog manje potrebe nabave potrošnog materijala za školske praktikume jer se materijal u 2025. godini trošio i djelom iz kupnje u 2024. godini.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205,7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 xml:space="preserve">Sitni inventar i </w:t>
      </w:r>
      <w:proofErr w:type="spellStart"/>
      <w:r>
        <w:t>autogume</w:t>
      </w:r>
      <w:proofErr w:type="spellEnd"/>
      <w:r>
        <w:t xml:space="preserve"> povećan je zbog utrošenih sredstava od projekta „LQ vještine za djelovanje“ i projekta „Modernizacija medija i škole za bolju informiranost i nove generacije“.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13.248,91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18.130,04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136,8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 xml:space="preserve">Rashodi su povećani u odnosu na isto razdoblje prethodne godine jer je Škola u tekućoj godini imala troškove ugradnje </w:t>
      </w:r>
      <w:proofErr w:type="spellStart"/>
      <w:r>
        <w:t>pvc</w:t>
      </w:r>
      <w:proofErr w:type="spellEnd"/>
      <w:r>
        <w:t xml:space="preserve"> stijene na ulazu u školu, a kako bi se osigurao radni prostor za dva nova zaposlenika na radnom mjestu operativni djelatnik za sigurno</w:t>
      </w:r>
      <w:r>
        <w:t>st i civilnu zaštitu.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3.291,30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4,6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Rashod je smanjen jer je u 2024. godini izvršena usluga energetskih pregleda, izrade energetskog certifikata i izvješća o provedenom energetskom pregledu što u 2025. godini nije imalo potrebe za istim.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194,9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 xml:space="preserve">Ostale usluge su porasle jer je plaćena usluga iz vlastitih sredstava za izradu projektne dokumentacije projekta </w:t>
      </w:r>
      <w:proofErr w:type="spellStart"/>
      <w:r>
        <w:t>Erasmus</w:t>
      </w:r>
      <w:proofErr w:type="spellEnd"/>
      <w:r>
        <w:t>+ 2025. g. - Ključna aktivnost 1 u području strukovnog obrazovanja i osposobljavanja - broj projekta 2025-1-HR01-KA122-VET-000321445, OI</w:t>
      </w:r>
      <w:r>
        <w:t>D: E10172835, KROSS = Kreativne Ruke Obrtničke Suvremene Struke.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troškova </w:t>
            </w:r>
            <w:r>
              <w:rPr>
                <w:sz w:val="18"/>
              </w:rPr>
              <w:t>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14.693,76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18.067,02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123,0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Povećanje troškova odnosi se na troškove za aktivnosti učenika koji sudjeluje u sklopu projekta „</w:t>
      </w:r>
      <w:proofErr w:type="spellStart"/>
      <w:r>
        <w:t>Erasmus</w:t>
      </w:r>
      <w:proofErr w:type="spellEnd"/>
      <w:r>
        <w:t>+“.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201,4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 xml:space="preserve">Do povećanja troška došlo je zbog plaćanja ručka u okviru </w:t>
      </w:r>
      <w:proofErr w:type="spellStart"/>
      <w:r>
        <w:t>izvanučioničke</w:t>
      </w:r>
      <w:proofErr w:type="spellEnd"/>
      <w:r>
        <w:t xml:space="preserve"> nastave u Vukovaru koja je financirana od strane Županije. 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5.286,88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135,7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Do povećanja je došlo zbog povećane Novčane naknade poslodavca zbog nezapošljavanja osoba s invaliditetom u odnosu na 2024. godinu (osnovica za obračun naknade je osnovica minimalne plaće koja je u 2025. godini viša u odnosu na prethodnu godinu).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13.359,74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579,8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Do povećanja je došlo jer su utrošena sredstva iz projekata „Modernizacija medija i škole za bolju informiranost i nove generacije“ (prekogranična suradnja) i „LQ vještine za djelovanje“.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Rashod se odnosi na nabavu stolnoteniskog stola od Školskog športskog saveza Osječko-baranjske županije.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6,9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Ostvaren je pad u odnosu na prošlu godinu jer je u 2024. godini kupljen šivaći stroj za krojački praktikum.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Rashod je u porastu zbog kupnje udžbenika za učenika koje financira Ministarstvo znanosti, obrazovanja i mladih.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6E77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13.433,60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134.853,90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1003,9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 xml:space="preserve">Za razdoblje 1.1. do 31.12.2025. škola je ostvarila manjak prihoda i primitaka u iznosu od 134.853,90 eura. Navedeni manjak čine manjak od redovnog poslovanja u iznosu 121.467,09 eura i manjak prihoda od nefinancijske imovine od 1.333,81 </w:t>
      </w:r>
      <w:proofErr w:type="spellStart"/>
      <w:r>
        <w:t>eur</w:t>
      </w:r>
      <w:proofErr w:type="spellEnd"/>
      <w:r>
        <w:t>. Manjak prihod</w:t>
      </w:r>
      <w:r>
        <w:t xml:space="preserve">a poslovanja predstavlja modificirani manjak koji je djelomično  pokriven već u siječnju 2026., odnosi se na plaću za prosinac 2025., a rezultat je promjena u načinu evidentiranja rashoda. Novim Pravilnikom o proračunskom računovodstvu koji se primjenjuje </w:t>
      </w:r>
      <w:r>
        <w:t xml:space="preserve">od 1.1.2025. godine ukida se podskupina 193 – kontinuirani rashodi, a to su rashodi za zaposlene, odnosno obračuni plaća </w:t>
      </w:r>
      <w:r>
        <w:lastRenderedPageBreak/>
        <w:t>za mjesece na kraju izvještajnih razdoblja. Zbog njihovog ukidanja škola je obvezna evidentirati trinaesti rashod za zaposlene u obraču</w:t>
      </w:r>
      <w:r>
        <w:t>nskom razdoblju siječanj-prosinac 2025.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47,0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Iznos je u padu zbog redovite refundacije naknade plaća za bolovanje na teret Hrvatskog zavoda za zdravstveno osiguranje.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</w:t>
            </w:r>
            <w:r>
              <w:rPr>
                <w:sz w:val="18"/>
              </w:rPr>
              <w:t>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120.853,71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Potraživanja za pomoći proračunskim korisnicima iz proračuna koji im nije nadležan  – u 2025. godini, temeljem primjene Računskog plana za proračune, knjiženje prihoda uplaćenih iz državnog/lokalnog proračuna na kontima 1636 (dugovno) i 9636 (potražno) oba</w:t>
      </w:r>
      <w:r>
        <w:t>vezno je za proračunske korisnike prilikom evidentiranja potraživanja i prihoda poslovanja. Ovo knjiženje osigurava točno iskazivanje sredstava primljenih iz proračuna, sukladno Naputku o načinu uplaćivanja prihoda proračuna, obaveznih doprinosa te prihoda</w:t>
      </w:r>
      <w:r>
        <w:t xml:space="preserve"> za financiranje javnih potreba u 2025. godini. 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16.881,32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 xml:space="preserve">Potraživanja za pomoći temeljem prijenosa EU sredstava – prema Naputku o načinu uplaćivanja prihoda proračuna, obaveznih doprinosa te prihoda za financiranje javnih potreba u 2025. godini  te Dopuni upute za računovodstveno evidentiranje sredstava </w:t>
      </w:r>
      <w:proofErr w:type="spellStart"/>
      <w:r>
        <w:t>Ersamus</w:t>
      </w:r>
      <w:proofErr w:type="spellEnd"/>
      <w:r>
        <w:t>+</w:t>
      </w:r>
      <w:r>
        <w:t xml:space="preserve"> projekata, evidentirana su potraživanja i obračunati prihodi od tekuće pomoći iz državnog proračuna temeljem nastalih rashoda na provedbi </w:t>
      </w:r>
      <w:proofErr w:type="spellStart"/>
      <w:r>
        <w:t>Erasmus</w:t>
      </w:r>
      <w:proofErr w:type="spellEnd"/>
      <w:r>
        <w:t xml:space="preserve">+ projekata u tromjesečjima 2025. godine (16381/96381), a iskazano stanje odnosi se na projekt </w:t>
      </w:r>
      <w:proofErr w:type="spellStart"/>
      <w:r>
        <w:t>Erasmus</w:t>
      </w:r>
      <w:proofErr w:type="spellEnd"/>
      <w:r>
        <w:t>+ za 202</w:t>
      </w:r>
      <w:r>
        <w:t>5. g. Ključna aktivnost 1 u području odgoja i općeg obrazovanja - broj projekta 2025-1-HR01-KA122-</w:t>
      </w:r>
      <w:r>
        <w:lastRenderedPageBreak/>
        <w:t xml:space="preserve">SCH-000317535 (IDDT) u iznosu 7.358,17 i </w:t>
      </w:r>
      <w:proofErr w:type="spellStart"/>
      <w:r>
        <w:t>Erasmus</w:t>
      </w:r>
      <w:proofErr w:type="spellEnd"/>
      <w:r>
        <w:t>+ za 2025. g. za Ključnu aktivnost 1 u području strukovnog obrazovanja i osposobljavanja - broj projekta 2025-</w:t>
      </w:r>
      <w:r>
        <w:t>1-HR01-KA122-VET-000321445 (KROSS) u iznosu 9.523,15 eura.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proračunskih korisnika za sredstva uplaćena u nadležni proračun i za prihode </w:t>
            </w:r>
            <w:r>
              <w:rPr>
                <w:sz w:val="18"/>
              </w:rPr>
              <w:t>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29.564,41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96.145,51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325,2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 xml:space="preserve">Povećanje sredstava, najvećim djelom se odnosi na uplaćene predujme za </w:t>
      </w:r>
      <w:proofErr w:type="spellStart"/>
      <w:r>
        <w:t>Erasmus</w:t>
      </w:r>
      <w:proofErr w:type="spellEnd"/>
      <w:r>
        <w:t>+ projekte.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107.932,48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Kontinuirani rashodi budućih razdoblja - Novim Pravilnikom o proračunskom računovodstvu koji se primjenjuje od 1.1.2025. godine ukida se podskupina 193 – kontinuirani rashodi, gdje su bili evidentirani rashodi za zaposlene, odnosno obračuni plaća za mjesec</w:t>
      </w:r>
      <w:r>
        <w:t>e na kraju izvještajnih razdoblja. Zbog njihovog ukidanja škola je obvezna evidentirati trinaesti rashod za zaposlene u obračunskom razdoblju siječanj-prosinac 2025.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10.871,23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13.411,59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Obveze su u porastu jer su računi dobavljača koji se odnose na prosinac 2025. u većem broju u odnosu na račune iz prosinca 2024.,a time i veća obveza za plaćanjem istih u siječnju.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</w:t>
            </w:r>
            <w:r>
              <w:rPr>
                <w:b/>
                <w:sz w:val="18"/>
              </w:rPr>
              <w:t>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80.906,16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– povećanje obveza jer su 2024. na ovim obvezama bile evidentirane Obveze za povrat u proračun za bolovanje na teret HZZO-a i obveze za povrat po godišnjem obračunu poreza, dok je 2025. evident</w:t>
      </w:r>
      <w:r>
        <w:t xml:space="preserve">irana i obveze za EU predujmove dane iz državnog proračuna, odnosno uplata predujma za </w:t>
      </w:r>
      <w:proofErr w:type="spellStart"/>
      <w:r>
        <w:t>Erasmus</w:t>
      </w:r>
      <w:proofErr w:type="spellEnd"/>
      <w:r>
        <w:t xml:space="preserve">+ projekte od strane AMPEU-a i to za projekt </w:t>
      </w:r>
      <w:proofErr w:type="spellStart"/>
      <w:r>
        <w:t>Erasmus</w:t>
      </w:r>
      <w:proofErr w:type="spellEnd"/>
      <w:r>
        <w:t>+ za 2025. g. Ključna aktivnost 1 u području odgoja i općeg obrazovanja - broj projekta 2025-1-HR01-KA122-SCH-</w:t>
      </w:r>
      <w:r>
        <w:t xml:space="preserve">000317535 (IDDT) u iznosu 10.509,60 (80% od ugovorenog iznosa od 13.137,00 eura) i </w:t>
      </w:r>
      <w:proofErr w:type="spellStart"/>
      <w:r>
        <w:t>Erasmus</w:t>
      </w:r>
      <w:proofErr w:type="spellEnd"/>
      <w:r>
        <w:t>+ za 2025. g. za Ključnu aktivnost 1 u području strukovnog obrazovanja i osposobljavanja - broj projekta 2025-1-HR01-KA122-VET-000321445 (KROSS) u iznosu 69.791,20 eu</w:t>
      </w:r>
      <w:r>
        <w:t>ra (80% od ugovorenog iznosa od 87.239,00 eura).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(=0)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>Školska ustanova nema iskazane podatke u bilanci koji se odnose na popis sudskih sporova u tijeku niti popis ugovornih odnosa i slično koji uz ispunjenje određenih uvjeta, mogu postati imovina ili obveza (dana kreditna pisma, hipoteke i slično) pa se obave</w:t>
      </w:r>
      <w:r>
        <w:t>zne bilješke na tablicama uz Bilancu ne iskazuju.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100.376,00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 xml:space="preserve">U </w:t>
      </w:r>
      <w:proofErr w:type="spellStart"/>
      <w:r>
        <w:t>izvanbilančnim</w:t>
      </w:r>
      <w:proofErr w:type="spellEnd"/>
      <w:r>
        <w:t xml:space="preserve"> zapisima 2025. godine  evidentirana su Potraživanja po ugovorima o dodijeljenim bespovratnim sredstvima iz EU fondova i to za </w:t>
      </w:r>
      <w:proofErr w:type="spellStart"/>
      <w:r>
        <w:t>Erasmus</w:t>
      </w:r>
      <w:proofErr w:type="spellEnd"/>
      <w:r>
        <w:t xml:space="preserve">+ projekte: </w:t>
      </w:r>
      <w:proofErr w:type="spellStart"/>
      <w:r>
        <w:t>Erasmus</w:t>
      </w:r>
      <w:proofErr w:type="spellEnd"/>
      <w:r>
        <w:t>+ za 2025. g. Ključna aktivnost 1 u području odgoja i općeg obrazovanja - broj projekta</w:t>
      </w:r>
      <w:r>
        <w:t xml:space="preserve"> 2025-1-HR01-KA122-SCH-000317535 (IDDT) u iznosu 10.509,60  i </w:t>
      </w:r>
      <w:proofErr w:type="spellStart"/>
      <w:r>
        <w:t>Erasmus</w:t>
      </w:r>
      <w:proofErr w:type="spellEnd"/>
      <w:r>
        <w:t>+ za 2025. g. za Ključnu aktivnost 1 u području strukovnog obrazovanja i osposobljavanja - broj projekta 2025-1-HR01-KA122-VET-000321445 (KROSS) u iznosu 69.791,20 eura.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</w:t>
      </w:r>
      <w:r>
        <w:rPr>
          <w:b/>
          <w:sz w:val="28"/>
        </w:rPr>
        <w:t>zama</w:t>
      </w:r>
    </w:p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E77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77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6E77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772A" w:rsidRDefault="009A0C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E772A" w:rsidRDefault="006E772A">
      <w:pPr>
        <w:spacing w:after="0"/>
      </w:pPr>
    </w:p>
    <w:p w:rsidR="006E772A" w:rsidRDefault="009A0C4B">
      <w:r>
        <w:t xml:space="preserve">V007 - Stanje dospjelih obveza na kraju izvještajnog razdoblja iznosi 0,00 </w:t>
      </w:r>
      <w:proofErr w:type="spellStart"/>
      <w:r>
        <w:t>eur</w:t>
      </w:r>
      <w:proofErr w:type="spellEnd"/>
      <w:r>
        <w:t xml:space="preserve"> jer su sve obveze plaćene prije dospijeća.</w:t>
      </w:r>
    </w:p>
    <w:p w:rsidR="006E772A" w:rsidRDefault="009A0C4B">
      <w:r>
        <w:t> </w:t>
      </w:r>
    </w:p>
    <w:p w:rsidR="006E772A" w:rsidRDefault="006E772A"/>
    <w:p w:rsidR="006E772A" w:rsidRDefault="009A0C4B">
      <w:pPr>
        <w:keepNext/>
        <w:spacing w:line="240" w:lineRule="auto"/>
        <w:jc w:val="center"/>
      </w:pPr>
      <w:r>
        <w:rPr>
          <w:sz w:val="28"/>
        </w:rPr>
        <w:t>Bilješka 38.</w:t>
      </w:r>
    </w:p>
    <w:p w:rsidR="006E772A" w:rsidRDefault="009A0C4B">
      <w:pPr>
        <w:spacing w:line="240" w:lineRule="auto"/>
        <w:jc w:val="both"/>
      </w:pPr>
      <w:r>
        <w:rPr>
          <w:b/>
        </w:rPr>
        <w:t>EU izvještaj</w:t>
      </w:r>
    </w:p>
    <w:p w:rsidR="006E772A" w:rsidRDefault="009A0C4B">
      <w:r>
        <w:t xml:space="preserve">Školi su u 2025. godini po prvi puta odobreni predujmovi iz dva projekta </w:t>
      </w:r>
      <w:proofErr w:type="spellStart"/>
      <w:r>
        <w:t>Erasmus</w:t>
      </w:r>
      <w:proofErr w:type="spellEnd"/>
      <w:r>
        <w:t xml:space="preserve">+: Ključna aktivnost 1 u </w:t>
      </w:r>
      <w:r>
        <w:t>području odgoja i općeg obrazovanja - broj projekta 2025-1-HR01-KA122-SCH-000317535 (IDDT) u iznosu 10.509,60  i Ključna aktivnost 1 u području strukovnog obrazovanja i osposobljavanja - broj projekta 2025-1-HR01-KA122-VET-000321445 (KROSS) u iznosu 69.791</w:t>
      </w:r>
      <w:r>
        <w:t>,20 eura.</w:t>
      </w:r>
    </w:p>
    <w:p w:rsidR="006E772A" w:rsidRDefault="009A0C4B">
      <w:r>
        <w:t>Slijedom navedenoga škola je, sukladno Uputi (Uputa za računovodstveno evidentiranje sredstava Europske unije) Ministarstva financija iz svibnja 2025. i dopuni Upute (KLASA: 910-04/25-01/8, 513-17-01-26-6), izvršila knjiženja:</w:t>
      </w:r>
    </w:p>
    <w:p w:rsidR="006E772A" w:rsidRDefault="009A0C4B">
      <w:r>
        <w:t xml:space="preserve">-          96381, evidentirana su potraživanja i obračunati prihodi od tekuće pomoći iz državnog proračuna temeljem nastalih rashoda na provedbi </w:t>
      </w:r>
      <w:proofErr w:type="spellStart"/>
      <w:r>
        <w:t>Erasmus</w:t>
      </w:r>
      <w:proofErr w:type="spellEnd"/>
      <w:r>
        <w:t>+ projekata u tromjesečjima 2025. godine (16381/96381)</w:t>
      </w:r>
    </w:p>
    <w:p w:rsidR="006E772A" w:rsidRDefault="009A0C4B">
      <w:r>
        <w:t>-          27521, iskazane su obveze za EU preduj</w:t>
      </w:r>
      <w:r>
        <w:t xml:space="preserve">move dane iz državnog proračuna, odnosno uplata predujma za </w:t>
      </w:r>
      <w:proofErr w:type="spellStart"/>
      <w:r>
        <w:t>Erasmus</w:t>
      </w:r>
      <w:proofErr w:type="spellEnd"/>
      <w:r>
        <w:t>+ projekte od strane AMPEU</w:t>
      </w:r>
    </w:p>
    <w:p w:rsidR="006E772A" w:rsidRDefault="009A0C4B">
      <w:r>
        <w:t xml:space="preserve">-          99171, evidentirana su potraživanja po ugovorima o dodijeljenim bespovratnim sredstvima iz EU fondova za projekte </w:t>
      </w:r>
      <w:proofErr w:type="spellStart"/>
      <w:r>
        <w:t>Erasmus</w:t>
      </w:r>
      <w:proofErr w:type="spellEnd"/>
      <w:r>
        <w:t>+ za 2025. g. Ključna aktivnos</w:t>
      </w:r>
      <w:r>
        <w:t xml:space="preserve">t 1 u području odgoja i općeg obrazovanja - broj projekta 2025-1-HR01-KA122-SCH-000317535 (IDDT) u iznosu od 13.137,00 eura i </w:t>
      </w:r>
      <w:proofErr w:type="spellStart"/>
      <w:r>
        <w:t>Erasmus</w:t>
      </w:r>
      <w:proofErr w:type="spellEnd"/>
      <w:r>
        <w:t>+ za 2025. g. za Ključnu aktivnost 1 u području strukovnog obrazovanja i osposobljavanja - broj projekta 2025-1-HR01-KA122-</w:t>
      </w:r>
      <w:r>
        <w:t>VET-000321445 (KROSS) u iznosu 87.239,00 eura.</w:t>
      </w:r>
    </w:p>
    <w:p w:rsidR="006E772A" w:rsidRDefault="006E772A"/>
    <w:sectPr w:rsidR="006E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2A"/>
    <w:rsid w:val="006E772A"/>
    <w:rsid w:val="009A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143DE-5590-4B31-AB1D-9A83A2B3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3368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Obrtnička škola</dc:creator>
  <cp:lastModifiedBy>Kristina Mennel</cp:lastModifiedBy>
  <cp:revision>2</cp:revision>
  <dcterms:created xsi:type="dcterms:W3CDTF">2026-01-30T07:36:00Z</dcterms:created>
  <dcterms:modified xsi:type="dcterms:W3CDTF">2026-01-30T07:36:00Z</dcterms:modified>
</cp:coreProperties>
</file>